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60" w:after="80"/>
      </w:pPr>
      <w:r>
        <w:rPr>
          <w:rFonts w:ascii="Calibri" w:hAnsi="Calibri" w:eastAsia="Calibri"/>
          <w:b/>
          <w:color w:val="5E6770"/>
          <w:sz w:val="22"/>
        </w:rPr>
        <w:t>PERMOASIS RETREAT LTD.</w:t>
      </w:r>
    </w:p>
    <w:p>
      <w:pPr>
        <w:pStyle w:val="Title"/>
        <w:keepNext/>
        <w:keepLines/>
        <w:widowControl/>
      </w:pPr>
      <w:r>
        <w:t>Terms and Conditions</w:t>
      </w:r>
    </w:p>
    <w:p>
      <w:pPr>
        <w:pStyle w:val="Subtitle"/>
        <w:keepNext/>
        <w:keepLines/>
        <w:widowControl/>
      </w:pPr>
      <w:r>
        <w:t>Clear rules for a serious founding process</w:t>
      </w:r>
    </w:p>
    <w:p>
      <w:pPr>
        <w:pStyle w:val="Metadata"/>
      </w:pPr>
      <w:r>
        <w:rPr>
          <w:rFonts w:ascii="Calibri" w:hAnsi="Calibri" w:eastAsia="Calibri"/>
          <w:b/>
          <w:color w:val="5E6770"/>
          <w:sz w:val="20"/>
        </w:rPr>
        <w:t xml:space="preserve">Effective date: </w:t>
      </w:r>
      <w:r>
        <w:rPr>
          <w:rFonts w:ascii="Calibri" w:hAnsi="Calibri" w:eastAsia="Calibri"/>
          <w:color w:val="5E6770"/>
          <w:sz w:val="20"/>
        </w:rPr>
        <w:t>July 25, 2026</w:t>
      </w:r>
    </w:p>
    <w:p>
      <w:pPr>
        <w:pStyle w:val="Metadata"/>
      </w:pPr>
      <w:r>
        <w:rPr>
          <w:rFonts w:ascii="Calibri" w:hAnsi="Calibri" w:eastAsia="Calibri"/>
          <w:b/>
          <w:color w:val="5E6770"/>
          <w:sz w:val="20"/>
        </w:rPr>
        <w:t xml:space="preserve">Version: </w:t>
      </w:r>
      <w:r>
        <w:rPr>
          <w:rFonts w:ascii="Calibri" w:hAnsi="Calibri" w:eastAsia="Calibri"/>
          <w:color w:val="5E6770"/>
          <w:sz w:val="20"/>
        </w:rPr>
        <w:t>TC-2026.07.25</w:t>
      </w:r>
    </w:p>
    <w:p>
      <w:pPr>
        <w:pStyle w:val="Metadata"/>
      </w:pPr>
      <w:r>
        <w:rPr>
          <w:rFonts w:ascii="Calibri" w:hAnsi="Calibri" w:eastAsia="Calibri"/>
          <w:b/>
          <w:color w:val="5E6770"/>
          <w:sz w:val="20"/>
        </w:rPr>
        <w:t xml:space="preserve">Status: </w:t>
      </w:r>
      <w:r>
        <w:rPr>
          <w:rFonts w:ascii="Calibri" w:hAnsi="Calibri" w:eastAsia="Calibri"/>
          <w:color w:val="5E6770"/>
          <w:sz w:val="20"/>
        </w:rPr>
        <w:t>Counsel review draft</w:t>
      </w:r>
    </w:p>
    <w:p>
      <w:pPr>
        <w:pStyle w:val="Metadata"/>
      </w:pPr>
      <w:r>
        <w:rPr>
          <w:rFonts w:ascii="Calibri" w:hAnsi="Calibri" w:eastAsia="Calibri"/>
          <w:b/>
          <w:color w:val="5E6770"/>
          <w:sz w:val="20"/>
        </w:rPr>
        <w:t xml:space="preserve">Applies to: </w:t>
      </w:r>
      <w:r>
        <w:rPr>
          <w:rFonts w:ascii="Calibri" w:hAnsi="Calibri" w:eastAsia="Calibri"/>
          <w:color w:val="5E6770"/>
          <w:sz w:val="20"/>
        </w:rPr>
        <w:t>permoasisretreat.com and the Founding Five review funnel</w:t>
      </w:r>
    </w:p>
    <w:tbl>
      <w:tblPr>
        <w:tblW w:type="auto" w:w="0"/>
        <w:tblLayout w:type="fixed"/>
        <w:tblLook w:firstColumn="1" w:firstRow="1" w:lastColumn="0" w:lastRow="0" w:noHBand="0" w:noVBand="1" w:val="04A0"/>
      </w:tblPr>
      <w:tblGrid>
        <w:gridCol w:w="9360"/>
      </w:tblGrid>
      <w:tr>
        <w:tc>
          <w:tcPr>
            <w:tcW w:type="dxa" w:w="9360"/>
            <w:vAlign w:val="center"/>
            <w:shd w:fill="F2F4F7"/>
            <w:tcMar>
              <w:top w:w="120" w:type="dxa"/>
              <w:start w:w="160" w:type="dxa"/>
              <w:bottom w:w="120" w:type="dxa"/>
              <w:end w:w="160" w:type="dxa"/>
            </w:tcMar>
            <w:tcBorders>
              <w:top w:val="single" w:sz="6" w:color="D7DCE2"/>
              <w:left w:val="single" w:sz="6" w:color="D7DCE2"/>
              <w:bottom w:val="single" w:sz="6" w:color="D7DCE2"/>
              <w:right w:val="single" w:sz="6" w:color="D7DCE2"/>
            </w:tcBorders>
          </w:tcPr>
          <w:p>
            <w:pPr>
              <w:spacing w:before="0" w:after="0" w:line="264" w:lineRule="auto"/>
            </w:pPr>
            <w:r>
              <w:rPr>
                <w:rFonts w:ascii="Calibri" w:hAnsi="Calibri" w:eastAsia="Calibri"/>
                <w:b/>
                <w:color w:val="1F4D78"/>
                <w:sz w:val="21"/>
              </w:rPr>
              <w:t xml:space="preserve">Review status: </w:t>
            </w:r>
            <w:r>
              <w:rPr>
                <w:rFonts w:ascii="Calibri" w:hAnsi="Calibri" w:eastAsia="Calibri"/>
                <w:color w:val="000000"/>
                <w:sz w:val="21"/>
              </w:rPr>
              <w:t>This is a working legal draft prepared for review by qualified New Brunswick counsel. The review notice should be removed before publication.</w:t>
            </w:r>
          </w:p>
        </w:tc>
      </w:tr>
    </w:tbl>
    <w:p>
      <w:pPr>
        <w:spacing w:after="0" w:line="72" w:lineRule="auto"/>
      </w:pPr>
    </w:p>
    <w:p>
      <w:pPr>
        <w:widowControl/>
      </w:pPr>
      <w:r>
        <w:rPr>
          <w:rFonts w:ascii="Calibri" w:hAnsi="Calibri" w:eastAsia="Calibri"/>
          <w:i w:val="0"/>
          <w:color w:val="000000"/>
          <w:sz w:val="22"/>
        </w:rPr>
        <w:t>PermOasis Retreat is still being built. The website needs room to describe a future that is not yet finished, while giving prospective founding households firm ground beneath every decision they make today.</w:t>
      </w:r>
    </w:p>
    <w:p>
      <w:pPr>
        <w:widowControl/>
      </w:pPr>
      <w:r>
        <w:rPr>
          <w:rFonts w:ascii="Calibri" w:hAnsi="Calibri" w:eastAsia="Calibri"/>
          <w:i w:val="0"/>
          <w:color w:val="000000"/>
          <w:sz w:val="22"/>
        </w:rPr>
        <w:t>These Terms govern use of the public website, Information Package, application funnel, and $250 CAD Founding Review Deposit. They do not replace the final legal agreements required to acquire land, receive shares, close a Founding Homestead transaction, work for PermOasis Retreat, or participate in a future business arrangement.</w:t>
      </w:r>
    </w:p>
    <w:p>
      <w:pPr>
        <w:pStyle w:val="Heading1"/>
        <w:keepNext/>
        <w:keepLines/>
        <w:widowControl/>
      </w:pPr>
      <w:r>
        <w:t>1. Agreement to These Terms</w:t>
      </w:r>
    </w:p>
    <w:p>
      <w:pPr>
        <w:widowControl/>
      </w:pPr>
      <w:r>
        <w:rPr>
          <w:rFonts w:ascii="Calibri" w:hAnsi="Calibri" w:eastAsia="Calibri"/>
          <w:i w:val="0"/>
          <w:color w:val="000000"/>
          <w:sz w:val="22"/>
        </w:rPr>
        <w:t>These Terms and Conditions are an agreement between you and PermOasis Retreat Ltd. By using permoasisretreat.com, you agree to the provisions that reasonably apply to ordinary website use. The application, personal-information, and Founding Review Deposit provisions require express acceptance through the application or payment flow before they become binding.</w:t>
      </w:r>
    </w:p>
    <w:p>
      <w:pPr>
        <w:widowControl/>
      </w:pPr>
      <w:r>
        <w:rPr>
          <w:rFonts w:ascii="Calibri" w:hAnsi="Calibri" w:eastAsia="Calibri"/>
          <w:i w:val="0"/>
          <w:color w:val="000000"/>
          <w:sz w:val="22"/>
        </w:rPr>
        <w:t>If you do not agree, do not submit an application or payment. You may still read the public website and Information Package, subject to the intellectual-property and acceptable-use provisions below.</w:t>
      </w:r>
    </w:p>
    <w:p>
      <w:pPr>
        <w:pStyle w:val="Heading1"/>
        <w:keepNext/>
        <w:keepLines/>
        <w:widowControl/>
      </w:pPr>
      <w:r>
        <w:t>2. About PermOasis Retreat</w:t>
      </w:r>
    </w:p>
    <w:p>
      <w:pPr>
        <w:widowControl/>
      </w:pPr>
      <w:r>
        <w:rPr>
          <w:rFonts w:ascii="Calibri" w:hAnsi="Calibri" w:eastAsia="Calibri"/>
          <w:b/>
          <w:color w:val="000000"/>
          <w:sz w:val="22"/>
        </w:rPr>
        <w:t xml:space="preserve">Legal entity: </w:t>
      </w:r>
      <w:r>
        <w:rPr>
          <w:rFonts w:ascii="Calibri" w:hAnsi="Calibri" w:eastAsia="Calibri"/>
          <w:i w:val="0"/>
          <w:color w:val="000000"/>
          <w:sz w:val="22"/>
        </w:rPr>
        <w:t>PermOasis Retreat Ltd.</w:t>
      </w:r>
    </w:p>
    <w:p>
      <w:pPr>
        <w:widowControl/>
      </w:pPr>
      <w:r>
        <w:rPr>
          <w:rFonts w:ascii="Calibri" w:hAnsi="Calibri" w:eastAsia="Calibri"/>
          <w:b/>
          <w:color w:val="000000"/>
          <w:sz w:val="22"/>
        </w:rPr>
        <w:t xml:space="preserve">Location: </w:t>
      </w:r>
      <w:r>
        <w:rPr>
          <w:rFonts w:ascii="Calibri" w:hAnsi="Calibri" w:eastAsia="Calibri"/>
          <w:i w:val="0"/>
          <w:color w:val="000000"/>
          <w:sz w:val="22"/>
        </w:rPr>
        <w:t>New Brunswick, Canada</w:t>
      </w:r>
    </w:p>
    <w:p>
      <w:r>
        <w:rPr>
          <w:rFonts w:ascii="Calibri" w:hAnsi="Calibri" w:eastAsia="Calibri"/>
          <w:b/>
          <w:color w:val="000000"/>
          <w:sz w:val="22"/>
        </w:rPr>
        <w:t xml:space="preserve">General and legal contact: </w:t>
      </w:r>
      <w:hyperlink r:id="rId11">
        <w:r>
          <w:rPr>
            <w:rFonts w:ascii="Calibri" w:hAnsi="Calibri"/>
            <w:color w:val="2E74B5"/>
            <w:u w:val="single"/>
            <w:sz w:val="22"/>
          </w:rPr>
          <w:t>tyler@permoasisretreat.com</w:t>
        </w:r>
      </w:hyperlink>
    </w:p>
    <w:p>
      <w:pPr>
        <w:widowControl/>
      </w:pPr>
      <w:r>
        <w:rPr>
          <w:rFonts w:ascii="Calibri" w:hAnsi="Calibri" w:eastAsia="Calibri"/>
          <w:i w:val="0"/>
          <w:color w:val="000000"/>
          <w:sz w:val="22"/>
        </w:rPr>
        <w:t>A current business mailing or registered-office address will be provided on reasonable request and should be inserted before publication if counsel advises that it is required.</w:t>
      </w:r>
    </w:p>
    <w:p>
      <w:pPr>
        <w:pStyle w:val="Heading1"/>
        <w:keepNext/>
        <w:keepLines/>
        <w:widowControl/>
      </w:pPr>
      <w:r>
        <w:t>3. Eligibility and Household Authority</w:t>
      </w:r>
    </w:p>
    <w:p>
      <w:pPr>
        <w:widowControl/>
      </w:pPr>
      <w:r>
        <w:rPr>
          <w:rFonts w:ascii="Calibri" w:hAnsi="Calibri" w:eastAsia="Calibri"/>
          <w:i w:val="0"/>
          <w:color w:val="000000"/>
          <w:sz w:val="22"/>
        </w:rPr>
        <w:t>You must be at least 19 years old and have legal capacity to submit a Founding Homestead application or pay the Founding Review Deposit. If the age of majority is higher where you live, you must meet that higher age.</w:t>
      </w:r>
    </w:p>
    <w:p>
      <w:pPr>
        <w:widowControl/>
      </w:pPr>
      <w:r>
        <w:rPr>
          <w:rFonts w:ascii="Calibri" w:hAnsi="Calibri" w:eastAsia="Calibri"/>
          <w:i w:val="0"/>
          <w:color w:val="000000"/>
          <w:sz w:val="22"/>
        </w:rPr>
        <w:t>An applicant may communicate practical information for a household only with the knowledge and authority of the affected people. Confirming that other adults reviewed the Information Package does not sign a contract for them or waive their right to independent advice. Every person who becomes a party to a final transaction must separately consent to and sign the documents that apply to that person.</w:t>
      </w:r>
    </w:p>
    <w:p>
      <w:pPr>
        <w:pStyle w:val="Heading1"/>
        <w:keepNext/>
        <w:keepLines/>
        <w:widowControl/>
      </w:pPr>
      <w:r>
        <w:t>4. The Project Is in a Founding Stage</w:t>
      </w:r>
    </w:p>
    <w:p>
      <w:pPr>
        <w:widowControl/>
      </w:pPr>
      <w:r>
        <w:rPr>
          <w:rFonts w:ascii="Calibri" w:hAnsi="Calibri" w:eastAsia="Calibri"/>
          <w:i w:val="0"/>
          <w:color w:val="000000"/>
          <w:sz w:val="22"/>
        </w:rPr>
        <w:t>PermOasis Retreat has not acquired the final property. Roads, utilities, homesteads, the market, retreat facilities, regenerative systems, guest accommodations, wellness spaces, employment roles, commercial programs, and other parts of the long-term vision remain to be selected, designed, financed, approved, built, or operated.</w:t>
      </w:r>
    </w:p>
    <w:p>
      <w:pPr>
        <w:widowControl/>
      </w:pPr>
      <w:r>
        <w:rPr>
          <w:rFonts w:ascii="Calibri" w:hAnsi="Calibri" w:eastAsia="Calibri"/>
          <w:i w:val="0"/>
          <w:color w:val="000000"/>
          <w:sz w:val="22"/>
        </w:rPr>
        <w:t>Plans, illustrations, maps, layouts, renderings, timelines, budgets, energy estimates, income scenarios, valuation models, development phases, and descriptions of future amenities are preliminary, conceptual, estimated, intended, or property-dependent unless expressly identified as final in a signed agreement or authoritative professional record.</w:t>
      </w:r>
    </w:p>
    <w:p>
      <w:pPr>
        <w:widowControl/>
      </w:pPr>
      <w:r>
        <w:rPr>
          <w:rFonts w:ascii="Calibri" w:hAnsi="Calibri" w:eastAsia="Calibri"/>
          <w:i w:val="0"/>
          <w:color w:val="000000"/>
          <w:sz w:val="22"/>
        </w:rPr>
        <w:t>PermOasis Retreat may correct, revise, remove, or replace public material as facts, land, costs, law, approvals, professional advice, and the founding structure develop. A material change will not silently amend an already signed final agreement.</w:t>
      </w:r>
    </w:p>
    <w:p>
      <w:pPr>
        <w:pStyle w:val="Heading1"/>
        <w:keepNext/>
        <w:keepLines/>
        <w:widowControl/>
      </w:pPr>
      <w:r>
        <w:t>5. The Current Information Package</w:t>
      </w:r>
    </w:p>
    <w:p>
      <w:pPr>
        <w:widowControl/>
      </w:pPr>
      <w:r>
        <w:rPr>
          <w:rFonts w:ascii="Calibri" w:hAnsi="Calibri" w:eastAsia="Calibri"/>
          <w:i w:val="0"/>
          <w:color w:val="000000"/>
          <w:sz w:val="22"/>
        </w:rPr>
        <w:t>The live Founding Five Information Package is the current public master. Downloaded, printed, emailed, or cached copies may become outdated. The package page identifies the current public version, and the application records the package version acknowledged by the applicant.</w:t>
      </w:r>
    </w:p>
    <w:p>
      <w:pPr>
        <w:widowControl/>
      </w:pPr>
      <w:r>
        <w:rPr>
          <w:rFonts w:ascii="Calibri" w:hAnsi="Calibri" w:eastAsia="Calibri"/>
          <w:i w:val="0"/>
          <w:color w:val="000000"/>
          <w:sz w:val="22"/>
        </w:rPr>
        <w:t>Applicants are responsible for reviewing the current version before applying. If a material change affects an active application, PermOasis Retreat may require the household to review and acknowledge the updated package before the review continues.</w:t>
      </w:r>
    </w:p>
    <w:p>
      <w:r>
        <w:rPr>
          <w:rFonts w:ascii="Calibri" w:hAnsi="Calibri" w:eastAsia="Calibri"/>
          <w:color w:val="000000"/>
          <w:sz w:val="22"/>
        </w:rPr>
        <w:t xml:space="preserve">Current package: </w:t>
      </w:r>
      <w:hyperlink r:id="rId12">
        <w:r>
          <w:rPr>
            <w:rFonts w:ascii="Calibri" w:hAnsi="Calibri"/>
            <w:color w:val="2E74B5"/>
            <w:u w:val="single"/>
            <w:sz w:val="22"/>
          </w:rPr>
          <w:t>Founding Five Information Package</w:t>
        </w:r>
      </w:hyperlink>
    </w:p>
    <w:p>
      <w:pPr>
        <w:pStyle w:val="Heading1"/>
        <w:keepNext/>
        <w:keepLines/>
        <w:widowControl/>
      </w:pPr>
      <w:r>
        <w:t>6. No Land, Share, Reservation, or Partnership Is Created Online</w:t>
      </w:r>
    </w:p>
    <w:p>
      <w:pPr>
        <w:widowControl/>
      </w:pPr>
      <w:r>
        <w:rPr>
          <w:rFonts w:ascii="Calibri" w:hAnsi="Calibri" w:eastAsia="Calibri"/>
          <w:i w:val="0"/>
          <w:color w:val="000000"/>
          <w:sz w:val="22"/>
        </w:rPr>
        <w:t>The website, Information Package, application, Founder Conversations, review decision, and Founding Review Deposit do not by themselves:</w:t>
      </w:r>
    </w:p>
    <w:p>
      <w:pPr>
        <w:numPr>
          <w:ilvl w:val="0"/>
          <w:numId w:val="91"/>
        </w:numPr>
        <w:spacing w:after="160" w:line="280" w:lineRule="auto"/>
        <w:keepLines/>
        <w:widowControl/>
      </w:pPr>
      <w:r>
        <w:rPr>
          <w:rFonts w:ascii="Calibri" w:hAnsi="Calibri" w:eastAsia="Calibri"/>
          <w:color w:val="000000"/>
          <w:sz w:val="22"/>
        </w:rPr>
        <w:t>sell, convey, lease, reserve, option, or create an interest in land or a Founding Homestead;</w:t>
      </w:r>
    </w:p>
    <w:p>
      <w:pPr>
        <w:numPr>
          <w:ilvl w:val="0"/>
          <w:numId w:val="91"/>
        </w:numPr>
        <w:spacing w:after="160" w:line="280" w:lineRule="auto"/>
        <w:keepLines/>
        <w:widowControl/>
      </w:pPr>
      <w:r>
        <w:rPr>
          <w:rFonts w:ascii="Calibri" w:hAnsi="Calibri" w:eastAsia="Calibri"/>
          <w:color w:val="000000"/>
          <w:sz w:val="22"/>
        </w:rPr>
        <w:t>issue, sell, subscribe for, transfer, or create an interest in shares or other securities;</w:t>
      </w:r>
    </w:p>
    <w:p>
      <w:pPr>
        <w:numPr>
          <w:ilvl w:val="0"/>
          <w:numId w:val="91"/>
        </w:numPr>
        <w:spacing w:after="160" w:line="280" w:lineRule="auto"/>
        <w:keepLines/>
        <w:widowControl/>
      </w:pPr>
      <w:r>
        <w:rPr>
          <w:rFonts w:ascii="Calibri" w:hAnsi="Calibri" w:eastAsia="Calibri"/>
          <w:color w:val="000000"/>
          <w:sz w:val="22"/>
        </w:rPr>
        <w:t>create a shareholder, partnership, joint venture, agency, fiduciary, employment, tenancy, membership, franchise, or community-association relationship;</w:t>
      </w:r>
    </w:p>
    <w:p>
      <w:pPr>
        <w:numPr>
          <w:ilvl w:val="0"/>
          <w:numId w:val="91"/>
        </w:numPr>
        <w:spacing w:after="160" w:line="280" w:lineRule="auto"/>
        <w:keepLines/>
        <w:widowControl/>
      </w:pPr>
      <w:r>
        <w:rPr>
          <w:rFonts w:ascii="Calibri" w:hAnsi="Calibri" w:eastAsia="Calibri"/>
          <w:color w:val="000000"/>
          <w:sz w:val="22"/>
        </w:rPr>
        <w:t>guarantee selection, priority, closing, financing, permits, construction, utilities, income, dividends, appreciation, employment, bonuses, consignment sales, fulfilment revenue, hospitality rights, or any other future benefit; or</w:t>
      </w:r>
    </w:p>
    <w:p>
      <w:pPr>
        <w:numPr>
          <w:ilvl w:val="0"/>
          <w:numId w:val="91"/>
        </w:numPr>
        <w:spacing w:after="160" w:line="280" w:lineRule="auto"/>
        <w:keepLines/>
        <w:widowControl/>
      </w:pPr>
      <w:r>
        <w:rPr>
          <w:rFonts w:ascii="Calibri" w:hAnsi="Calibri" w:eastAsia="Calibri"/>
          <w:color w:val="000000"/>
          <w:sz w:val="22"/>
        </w:rPr>
        <w:t>obligate either side to complete the $95,000 Founding Homestead transaction.</w:t>
      </w:r>
    </w:p>
    <w:p>
      <w:pPr>
        <w:widowControl/>
      </w:pPr>
      <w:r>
        <w:rPr>
          <w:rFonts w:ascii="Calibri" w:hAnsi="Calibri" w:eastAsia="Calibri"/>
          <w:i w:val="0"/>
          <w:color w:val="000000"/>
          <w:sz w:val="22"/>
        </w:rPr>
        <w:t>Any land or securities transaction must be completed through final written agreements, required disclosure, due diligence, applicable securities-law exemptions or filings, lawyer-directed funding, and successful closing. PermOasis Retreat's lawyer represents the company and transaction, not an individual founding household. Each household should retain its own Canadian lawyer and other advisers.</w:t>
      </w:r>
    </w:p>
    <w:tbl>
      <w:tblPr>
        <w:tblW w:type="auto" w:w="0"/>
        <w:tblLayout w:type="fixed"/>
        <w:tblLook w:firstColumn="1" w:firstRow="1" w:lastColumn="0" w:lastRow="0" w:noHBand="0" w:noVBand="1" w:val="04A0"/>
      </w:tblPr>
      <w:tblGrid>
        <w:gridCol w:w="9360"/>
      </w:tblGrid>
      <w:tr>
        <w:tc>
          <w:tcPr>
            <w:tcW w:type="dxa" w:w="9360"/>
            <w:vAlign w:val="center"/>
            <w:shd w:fill="F2F4F7"/>
            <w:tcMar>
              <w:top w:w="120" w:type="dxa"/>
              <w:start w:w="160" w:type="dxa"/>
              <w:bottom w:w="120" w:type="dxa"/>
              <w:end w:w="160" w:type="dxa"/>
            </w:tcMar>
            <w:tcBorders>
              <w:top w:val="single" w:sz="6" w:color="D7DCE2"/>
              <w:left w:val="single" w:sz="6" w:color="D7DCE2"/>
              <w:bottom w:val="single" w:sz="6" w:color="D7DCE2"/>
              <w:right w:val="single" w:sz="6" w:color="D7DCE2"/>
            </w:tcBorders>
          </w:tcPr>
          <w:p>
            <w:pPr>
              <w:spacing w:before="0" w:after="0" w:line="264" w:lineRule="auto"/>
            </w:pPr>
            <w:r>
              <w:rPr>
                <w:rFonts w:ascii="Calibri" w:hAnsi="Calibri" w:eastAsia="Calibri"/>
                <w:b/>
                <w:color w:val="1F4D78"/>
                <w:sz w:val="21"/>
              </w:rPr>
              <w:t xml:space="preserve">Final agreements control: </w:t>
            </w:r>
            <w:r>
              <w:rPr>
                <w:rFonts w:ascii="Calibri" w:hAnsi="Calibri" w:eastAsia="Calibri"/>
                <w:color w:val="000000"/>
                <w:sz w:val="21"/>
              </w:rPr>
              <w:t>If public material conflicts with a later agreement signed by the parties, the signed agreement governs the subject it addresses.</w:t>
            </w:r>
          </w:p>
        </w:tc>
      </w:tr>
    </w:tbl>
    <w:p>
      <w:pPr>
        <w:spacing w:after="0" w:line="72" w:lineRule="auto"/>
      </w:pPr>
    </w:p>
    <w:p>
      <w:pPr>
        <w:pStyle w:val="Heading1"/>
        <w:keepNext/>
        <w:keepLines/>
        <w:widowControl/>
      </w:pPr>
      <w:r>
        <w:t>7. No Professional Advice or Health Promise</w:t>
      </w:r>
    </w:p>
    <w:p>
      <w:pPr>
        <w:widowControl/>
      </w:pPr>
      <w:r>
        <w:rPr>
          <w:rFonts w:ascii="Calibri" w:hAnsi="Calibri" w:eastAsia="Calibri"/>
          <w:i w:val="0"/>
          <w:color w:val="000000"/>
          <w:sz w:val="22"/>
        </w:rPr>
        <w:t>Website material is general information. It is not legal, securities, investment, tax, accounting, financial, lending, appraisal, surveying, planning, architectural, engineering, construction, insurance, medical, mental-health, therapeutic, or other regulated professional advice.</w:t>
      </w:r>
    </w:p>
    <w:p>
      <w:pPr>
        <w:widowControl/>
      </w:pPr>
      <w:r>
        <w:rPr>
          <w:rFonts w:ascii="Calibri" w:hAnsi="Calibri" w:eastAsia="Calibri"/>
          <w:i w:val="0"/>
          <w:color w:val="000000"/>
          <w:sz w:val="22"/>
        </w:rPr>
        <w:t>References to healing, wellness, food, nature, breathwork, Reiki, hypnosis, spa experiences, or future practitioners do not diagnose, treat, cure, or prevent a condition and do not guarantee a health outcome. Future services will remain subject to their own provider qualifications, consent, safety, and service terms.</w:t>
      </w:r>
    </w:p>
    <w:p>
      <w:pPr>
        <w:pStyle w:val="Heading1"/>
        <w:keepNext/>
        <w:keepLines/>
        <w:widowControl/>
      </w:pPr>
      <w:r>
        <w:t>8. Application Terms</w:t>
      </w:r>
    </w:p>
    <w:p>
      <w:pPr>
        <w:widowControl/>
      </w:pPr>
      <w:r>
        <w:rPr>
          <w:rFonts w:ascii="Calibri" w:hAnsi="Calibri" w:eastAsia="Calibri"/>
          <w:i w:val="0"/>
          <w:color w:val="000000"/>
          <w:sz w:val="22"/>
        </w:rPr>
        <w:t>A Founding Homestead application begins a mutual review. By submitting it, you confirm that:</w:t>
      </w:r>
    </w:p>
    <w:p>
      <w:pPr>
        <w:numPr>
          <w:ilvl w:val="0"/>
          <w:numId w:val="91"/>
        </w:numPr>
        <w:spacing w:after="160" w:line="280" w:lineRule="auto"/>
        <w:keepLines/>
        <w:widowControl/>
      </w:pPr>
      <w:r>
        <w:rPr>
          <w:rFonts w:ascii="Calibri" w:hAnsi="Calibri" w:eastAsia="Calibri"/>
          <w:color w:val="000000"/>
          <w:sz w:val="22"/>
        </w:rPr>
        <w:t>the information is honest and materially complete to the best of your knowledge;</w:t>
      </w:r>
    </w:p>
    <w:p>
      <w:pPr>
        <w:numPr>
          <w:ilvl w:val="0"/>
          <w:numId w:val="91"/>
        </w:numPr>
        <w:spacing w:after="160" w:line="280" w:lineRule="auto"/>
        <w:keepLines/>
        <w:widowControl/>
      </w:pPr>
      <w:r>
        <w:rPr>
          <w:rFonts w:ascii="Calibri" w:hAnsi="Calibri" w:eastAsia="Calibri"/>
          <w:color w:val="000000"/>
          <w:sz w:val="22"/>
        </w:rPr>
        <w:t>you will correct a material error or change that could affect the review;</w:t>
      </w:r>
    </w:p>
    <w:p>
      <w:pPr>
        <w:numPr>
          <w:ilvl w:val="0"/>
          <w:numId w:val="91"/>
        </w:numPr>
        <w:spacing w:after="160" w:line="280" w:lineRule="auto"/>
        <w:keepLines/>
        <w:widowControl/>
      </w:pPr>
      <w:r>
        <w:rPr>
          <w:rFonts w:ascii="Calibri" w:hAnsi="Calibri" w:eastAsia="Calibri"/>
          <w:color w:val="000000"/>
          <w:sz w:val="22"/>
        </w:rPr>
        <w:t>you have authority to provide information about other household members and have limited that information to what is reasonably necessary;</w:t>
      </w:r>
    </w:p>
    <w:p>
      <w:pPr>
        <w:numPr>
          <w:ilvl w:val="0"/>
          <w:numId w:val="91"/>
        </w:numPr>
        <w:spacing w:after="160" w:line="280" w:lineRule="auto"/>
        <w:keepLines/>
        <w:widowControl/>
      </w:pPr>
      <w:r>
        <w:rPr>
          <w:rFonts w:ascii="Calibri" w:hAnsi="Calibri" w:eastAsia="Calibri"/>
          <w:color w:val="000000"/>
          <w:sz w:val="22"/>
        </w:rPr>
        <w:t>every affected adult has reviewed the current Information Package before the application is submitted;</w:t>
      </w:r>
    </w:p>
    <w:p>
      <w:pPr>
        <w:numPr>
          <w:ilvl w:val="0"/>
          <w:numId w:val="91"/>
        </w:numPr>
        <w:spacing w:after="160" w:line="280" w:lineRule="auto"/>
        <w:keepLines/>
        <w:widowControl/>
      </w:pPr>
      <w:r>
        <w:rPr>
          <w:rFonts w:ascii="Calibri" w:hAnsi="Calibri" w:eastAsia="Calibri"/>
          <w:color w:val="000000"/>
          <w:sz w:val="22"/>
        </w:rPr>
        <w:t>you have reviewed and accepted the current Privacy Policy and the application provisions of these Terms; and</w:t>
      </w:r>
    </w:p>
    <w:p>
      <w:pPr>
        <w:numPr>
          <w:ilvl w:val="0"/>
          <w:numId w:val="91"/>
        </w:numPr>
        <w:spacing w:after="160" w:line="280" w:lineRule="auto"/>
        <w:keepLines/>
        <w:widowControl/>
      </w:pPr>
      <w:r>
        <w:rPr>
          <w:rFonts w:ascii="Calibri" w:hAnsi="Calibri" w:eastAsia="Calibri"/>
          <w:color w:val="000000"/>
          <w:sz w:val="22"/>
        </w:rPr>
        <w:t>you understand that an application does not guarantee a conversation, selection, reservation, transaction, land, shares, employment, or another opportunity.</w:t>
      </w:r>
    </w:p>
    <w:p>
      <w:pPr>
        <w:widowControl/>
      </w:pPr>
      <w:r>
        <w:rPr>
          <w:rFonts w:ascii="Calibri" w:hAnsi="Calibri" w:eastAsia="Calibri"/>
          <w:i w:val="0"/>
          <w:color w:val="000000"/>
          <w:sz w:val="22"/>
        </w:rPr>
        <w:t>PermOasis Retreat may ask follow-up questions, request clarification, pause an incomplete review, decline to begin formal review, or end review based on readiness, compatibility, project needs, legal requirements, risk, capacity, or the composition of the founding group. Decisions will remain subject to applicable human-rights and other laws. Bigotry, harassment, intimidation, threats, fraud, or material dishonesty are incompatible with the process.</w:t>
      </w:r>
    </w:p>
    <w:p>
      <w:pPr>
        <w:widowControl/>
      </w:pPr>
      <w:r>
        <w:rPr>
          <w:rFonts w:ascii="Calibri" w:hAnsi="Calibri" w:eastAsia="Calibri"/>
          <w:i w:val="0"/>
          <w:color w:val="000000"/>
          <w:sz w:val="22"/>
        </w:rPr>
        <w:t>A household may withdraw its application at any time by email. Withdrawal ends future review but does not make an already earned Founding Review Deposit refundable and does not require the deletion of records that must lawfully or reasonably be retained.</w:t>
      </w:r>
    </w:p>
    <w:p>
      <w:pPr>
        <w:pStyle w:val="Heading1"/>
        <w:keepNext/>
        <w:keepLines/>
        <w:widowControl/>
      </w:pPr>
      <w:r>
        <w:t>9. The $250 CAD Founding Review Deposit</w:t>
      </w:r>
    </w:p>
    <w:p>
      <w:pPr>
        <w:pStyle w:val="Heading2"/>
        <w:keepNext/>
        <w:keepLines/>
        <w:widowControl/>
      </w:pPr>
      <w:r>
        <w:t>Purpose and timing</w:t>
      </w:r>
    </w:p>
    <w:p>
      <w:pPr>
        <w:widowControl/>
      </w:pPr>
      <w:r>
        <w:rPr>
          <w:rFonts w:ascii="Calibri" w:hAnsi="Calibri" w:eastAsia="Calibri"/>
          <w:i w:val="0"/>
          <w:color w:val="000000"/>
          <w:sz w:val="22"/>
        </w:rPr>
        <w:t>The Founding Review Deposit pays for the formal household assessment. It may support application review, follow-up questions, preparation and conduct of Founder Conversations, answers to detailed questions, assessment of expectations and readiness, consideration of the complete founding group, and coordination of next steps.</w:t>
      </w:r>
    </w:p>
    <w:p>
      <w:pPr>
        <w:widowControl/>
      </w:pPr>
      <w:r>
        <w:rPr>
          <w:rFonts w:ascii="Calibri" w:hAnsi="Calibri" w:eastAsia="Calibri"/>
          <w:i w:val="0"/>
          <w:color w:val="000000"/>
          <w:sz w:val="22"/>
        </w:rPr>
        <w:t>The deposit becomes payable only after the household has had the opportunity to read the current Information Package and has submitted the formal application. Payment is processed through Stripe. The checkout must display the total amount and any applicable tax before payment is confirmed.</w:t>
      </w:r>
    </w:p>
    <w:p>
      <w:pPr>
        <w:pStyle w:val="Heading2"/>
        <w:keepNext/>
        <w:keepLines/>
        <w:widowControl/>
      </w:pPr>
      <w:r>
        <w:t>Immediate start and non-refundable status</w:t>
      </w:r>
    </w:p>
    <w:p>
      <w:pPr>
        <w:widowControl/>
      </w:pPr>
      <w:r>
        <w:rPr>
          <w:rFonts w:ascii="Calibri" w:hAnsi="Calibri" w:eastAsia="Calibri"/>
          <w:i w:val="0"/>
          <w:color w:val="000000"/>
          <w:sz w:val="22"/>
        </w:rPr>
        <w:t>By paying, you ask PermOasis Retreat to begin the review service without delay. Formal review begins when payment is successfully processed and the application is placed into substantive review. From that point, the deposit is earned and non-refundable because the review work has begun, whether the household is later accepted, declined, or chooses to withdraw.</w:t>
      </w:r>
    </w:p>
    <w:p>
      <w:pPr>
        <w:widowControl/>
      </w:pPr>
      <w:r>
        <w:rPr>
          <w:rFonts w:ascii="Calibri" w:hAnsi="Calibri" w:eastAsia="Calibri"/>
          <w:i w:val="0"/>
          <w:color w:val="000000"/>
          <w:sz w:val="22"/>
        </w:rPr>
        <w:t>The deposit will be refunded if it was charged twice, was unauthorized and properly verified, PermOasis Retreat declines to begin substantive review after accepting payment, or a refund is required by law. A refund approved under this paragraph will normally be returned to the original payment method. Contact PermOasis Retreat promptly if you believe a payment error occurred.</w:t>
      </w:r>
    </w:p>
    <w:p>
      <w:pPr>
        <w:pStyle w:val="Heading2"/>
        <w:keepNext/>
        <w:keepLines/>
        <w:widowControl/>
      </w:pPr>
      <w:r>
        <w:t>What the deposit does not purchase</w:t>
      </w:r>
    </w:p>
    <w:p>
      <w:pPr>
        <w:numPr>
          <w:ilvl w:val="0"/>
          <w:numId w:val="91"/>
        </w:numPr>
        <w:spacing w:after="160" w:line="280" w:lineRule="auto"/>
        <w:keepLines/>
        <w:widowControl/>
      </w:pPr>
      <w:r>
        <w:rPr>
          <w:rFonts w:ascii="Calibri" w:hAnsi="Calibri" w:eastAsia="Calibri"/>
          <w:color w:val="000000"/>
          <w:sz w:val="22"/>
        </w:rPr>
        <w:t>a Founding Homestead reservation or place in line;</w:t>
      </w:r>
    </w:p>
    <w:p>
      <w:pPr>
        <w:numPr>
          <w:ilvl w:val="0"/>
          <w:numId w:val="91"/>
        </w:numPr>
        <w:spacing w:after="160" w:line="280" w:lineRule="auto"/>
        <w:keepLines/>
        <w:widowControl/>
      </w:pPr>
      <w:r>
        <w:rPr>
          <w:rFonts w:ascii="Calibri" w:hAnsi="Calibri" w:eastAsia="Calibri"/>
          <w:color w:val="000000"/>
          <w:sz w:val="22"/>
        </w:rPr>
        <w:t>acceptance, priority, favourable treatment, or a guaranteed Founder Conversation;</w:t>
      </w:r>
    </w:p>
    <w:p>
      <w:pPr>
        <w:numPr>
          <w:ilvl w:val="0"/>
          <w:numId w:val="91"/>
        </w:numPr>
        <w:spacing w:after="160" w:line="280" w:lineRule="auto"/>
        <w:keepLines/>
        <w:widowControl/>
      </w:pPr>
      <w:r>
        <w:rPr>
          <w:rFonts w:ascii="Calibri" w:hAnsi="Calibri" w:eastAsia="Calibri"/>
          <w:color w:val="000000"/>
          <w:sz w:val="22"/>
        </w:rPr>
        <w:t>land, shares, a shareholder right, voting right, partnership, employment, or income;</w:t>
      </w:r>
    </w:p>
    <w:p>
      <w:pPr>
        <w:numPr>
          <w:ilvl w:val="0"/>
          <w:numId w:val="91"/>
        </w:numPr>
        <w:spacing w:after="160" w:line="280" w:lineRule="auto"/>
        <w:keepLines/>
        <w:widowControl/>
      </w:pPr>
      <w:r>
        <w:rPr>
          <w:rFonts w:ascii="Calibri" w:hAnsi="Calibri" w:eastAsia="Calibri"/>
          <w:color w:val="000000"/>
          <w:sz w:val="22"/>
        </w:rPr>
        <w:t>a guarantee that PermOasis Retreat will acquire a suitable property or complete the project; or</w:t>
      </w:r>
    </w:p>
    <w:p>
      <w:pPr>
        <w:numPr>
          <w:ilvl w:val="0"/>
          <w:numId w:val="91"/>
        </w:numPr>
        <w:spacing w:after="160" w:line="280" w:lineRule="auto"/>
        <w:keepLines/>
        <w:widowControl/>
      </w:pPr>
      <w:r>
        <w:rPr>
          <w:rFonts w:ascii="Calibri" w:hAnsi="Calibri" w:eastAsia="Calibri"/>
          <w:color w:val="000000"/>
          <w:sz w:val="22"/>
        </w:rPr>
        <w:t>legal, tax, financial, construction, or other professional advice for the applicant.</w:t>
      </w:r>
    </w:p>
    <w:p>
      <w:pPr>
        <w:pStyle w:val="Heading2"/>
        <w:keepNext/>
        <w:keepLines/>
        <w:widowControl/>
      </w:pPr>
      <w:r>
        <w:t>Credit toward the $95,000 commitment</w:t>
      </w:r>
    </w:p>
    <w:p>
      <w:pPr>
        <w:widowControl/>
      </w:pPr>
      <w:r>
        <w:rPr>
          <w:rFonts w:ascii="Calibri" w:hAnsi="Calibri" w:eastAsia="Calibri"/>
          <w:i w:val="0"/>
          <w:color w:val="000000"/>
          <w:sz w:val="22"/>
        </w:rPr>
        <w:t>If the household is accepted, chooses to proceed, and enters the formal Founding Homestead transaction, the full $250 deposit is credited toward the $95,000 Founding Homestead Commitment. The remaining $94,750 is handled separately through the transaction lawyer under the final agreements, trust conditions, and closing instructions. It is never paid through the public website, Tally form, or ordinary email.</w:t>
      </w:r>
    </w:p>
    <w:p>
      <w:pPr>
        <w:widowControl/>
      </w:pPr>
      <w:r>
        <w:rPr>
          <w:rFonts w:ascii="Calibri" w:hAnsi="Calibri" w:eastAsia="Calibri"/>
          <w:i w:val="0"/>
          <w:color w:val="000000"/>
          <w:sz w:val="22"/>
        </w:rPr>
        <w:t>If the later transaction does not close, the treatment of lawyer-held funds is governed by the written trust terms and final agreements. Unless those documents expressly state otherwise or law requires a refund, the $250 review deposit remains non-refundable because the review service was already supplied.</w:t>
      </w:r>
    </w:p>
    <w:p>
      <w:pPr>
        <w:widowControl/>
      </w:pPr>
      <w:r>
        <w:rPr>
          <w:rFonts w:ascii="Calibri" w:hAnsi="Calibri" w:eastAsia="Calibri"/>
          <w:i w:val="0"/>
          <w:color w:val="000000"/>
          <w:sz w:val="22"/>
        </w:rPr>
        <w:t>The deposit and any credit are household-specific, cannot be resold or transferred without written approval, and have no independent cash value after the review begins.</w:t>
      </w:r>
    </w:p>
    <w:p>
      <w:pPr>
        <w:pStyle w:val="Heading2"/>
        <w:keepNext/>
        <w:keepLines/>
        <w:widowControl/>
      </w:pPr>
      <w:r>
        <w:t>Receipt and contract record</w:t>
      </w:r>
    </w:p>
    <w:p>
      <w:pPr>
        <w:widowControl/>
      </w:pPr>
      <w:r>
        <w:rPr>
          <w:rFonts w:ascii="Calibri" w:hAnsi="Calibri" w:eastAsia="Calibri"/>
          <w:i w:val="0"/>
          <w:color w:val="000000"/>
          <w:sz w:val="22"/>
        </w:rPr>
        <w:t>After payment, the applicant should receive or be able to save a record showing the supplier, service, amount, date, contact information, applicable Terms version, and payment confirmation. The applicant should retain that record. PermOasis Retreat will keep its corresponding accounting and review records under the Privacy Policy.</w:t>
      </w:r>
    </w:p>
    <w:p>
      <w:pPr>
        <w:pStyle w:val="Heading1"/>
        <w:keepNext/>
        <w:keepLines/>
        <w:widowControl/>
      </w:pPr>
      <w:r>
        <w:t>10. Communications and Electronic Records</w:t>
      </w:r>
    </w:p>
    <w:p>
      <w:pPr>
        <w:widowControl/>
      </w:pPr>
      <w:r>
        <w:rPr>
          <w:rFonts w:ascii="Calibri" w:hAnsi="Calibri" w:eastAsia="Calibri"/>
          <w:i w:val="0"/>
          <w:color w:val="000000"/>
          <w:sz w:val="22"/>
        </w:rPr>
        <w:t>You consent to receive electronically the records and messages needed to administer an inquiry, application, payment, review, due diligence, correction, or legal process. Email and website records may satisfy a requirement for writing where applicable law permits.</w:t>
      </w:r>
    </w:p>
    <w:p>
      <w:pPr>
        <w:widowControl/>
      </w:pPr>
      <w:r>
        <w:rPr>
          <w:rFonts w:ascii="Calibri" w:hAnsi="Calibri" w:eastAsia="Calibri"/>
          <w:i w:val="0"/>
          <w:color w:val="000000"/>
          <w:sz w:val="22"/>
        </w:rPr>
        <w:t>You are responsible for providing a working email address, checking messages and spam folders, and telling PermOasis Retreat if contact information changes. Operational messages are not marketing. Promotional messages will be sent only with consent or another lawful basis and will include identification, contact information, and an unsubscribe method required by Canadian law.</w:t>
      </w:r>
    </w:p>
    <w:p>
      <w:pPr>
        <w:pStyle w:val="Heading1"/>
        <w:keepNext/>
        <w:keepLines/>
        <w:widowControl/>
      </w:pPr>
      <w:r>
        <w:t>11. Privacy</w:t>
      </w:r>
    </w:p>
    <w:p>
      <w:pPr>
        <w:widowControl/>
      </w:pPr>
      <w:r>
        <w:rPr>
          <w:rFonts w:ascii="Calibri" w:hAnsi="Calibri" w:eastAsia="Calibri"/>
          <w:i w:val="0"/>
          <w:color w:val="000000"/>
          <w:sz w:val="22"/>
        </w:rPr>
        <w:t>The Privacy Policy explains how personal information is collected, used, disclosed, protected, retained, and accessed. It forms part of the application and review-deposit process. If a person provides information about another household member, that person must have appropriate authority and must direct the other adult to the Privacy Policy.</w:t>
      </w:r>
    </w:p>
    <w:p>
      <w:r>
        <w:rPr>
          <w:rFonts w:ascii="Calibri" w:hAnsi="Calibri" w:eastAsia="Calibri"/>
          <w:color w:val="000000"/>
          <w:sz w:val="22"/>
        </w:rPr>
        <w:t xml:space="preserve">Planned publication page: </w:t>
      </w:r>
      <w:hyperlink r:id="rId13">
        <w:r>
          <w:rPr>
            <w:rFonts w:ascii="Calibri" w:hAnsi="Calibri"/>
            <w:color w:val="2E74B5"/>
            <w:u w:val="single"/>
            <w:sz w:val="22"/>
          </w:rPr>
          <w:t>Privacy Policy</w:t>
        </w:r>
      </w:hyperlink>
    </w:p>
    <w:p>
      <w:pPr>
        <w:pStyle w:val="Heading1"/>
        <w:keepNext/>
        <w:keepLines/>
        <w:widowControl/>
      </w:pPr>
      <w:r>
        <w:t>12. AI Use and Human Accountability</w:t>
      </w:r>
    </w:p>
    <w:p>
      <w:pPr>
        <w:widowControl/>
      </w:pPr>
      <w:r>
        <w:rPr>
          <w:rFonts w:ascii="Calibri" w:hAnsi="Calibri" w:eastAsia="Calibri"/>
          <w:i w:val="0"/>
          <w:color w:val="000000"/>
          <w:sz w:val="22"/>
        </w:rPr>
        <w:t>PermOasis Retreat may use AI-assisted tools under its published AI Use &amp; Verification Standards. AI may support research, drafting, organization, comparison, or consistency checking. It does not independently publish material, approve or decline an applicant, make an offer, commit funds, select land, or make a binding legal, financial, construction, engineering, medical, or therapeutic decision.</w:t>
      </w:r>
    </w:p>
    <w:p>
      <w:r>
        <w:rPr>
          <w:rFonts w:ascii="Calibri" w:hAnsi="Calibri" w:eastAsia="Calibri"/>
          <w:color w:val="000000"/>
          <w:sz w:val="22"/>
        </w:rPr>
        <w:t xml:space="preserve">Read the </w:t>
      </w:r>
      <w:hyperlink r:id="rId14">
        <w:r>
          <w:rPr>
            <w:rFonts w:ascii="Calibri" w:hAnsi="Calibri"/>
            <w:color w:val="2E74B5"/>
            <w:u w:val="single"/>
            <w:sz w:val="22"/>
          </w:rPr>
          <w:t>AI Use &amp; Verification Standards</w:t>
        </w:r>
      </w:hyperlink>
    </w:p>
    <w:p>
      <w:pPr>
        <w:pStyle w:val="Heading1"/>
        <w:keepNext/>
        <w:keepLines/>
        <w:widowControl/>
      </w:pPr>
      <w:r>
        <w:t>13. Intellectual Property and Permitted Use</w:t>
      </w:r>
    </w:p>
    <w:p>
      <w:pPr>
        <w:widowControl/>
      </w:pPr>
      <w:r>
        <w:rPr>
          <w:rFonts w:ascii="Calibri" w:hAnsi="Calibri" w:eastAsia="Calibri"/>
          <w:i w:val="0"/>
          <w:color w:val="000000"/>
          <w:sz w:val="22"/>
        </w:rPr>
        <w:t>Unless otherwise identified, the website, Information Package, written structure, graphics, logos, photographs, conceptual images, diagrams, forms, and original planning materials are owned by or licensed to PermOasis Retreat Ltd. They are protected by applicable intellectual-property laws.</w:t>
      </w:r>
    </w:p>
    <w:p>
      <w:pPr>
        <w:widowControl/>
      </w:pPr>
      <w:r>
        <w:rPr>
          <w:rFonts w:ascii="Calibri" w:hAnsi="Calibri" w:eastAsia="Calibri"/>
          <w:i w:val="0"/>
          <w:color w:val="000000"/>
          <w:sz w:val="22"/>
        </w:rPr>
        <w:t>You may view, download, and print public material for your household's private evaluation, and may share it privately with affected household members and professional advisers for due diligence. You may quote short portions with clear attribution and a link to the current source.</w:t>
      </w:r>
    </w:p>
    <w:p>
      <w:pPr>
        <w:widowControl/>
      </w:pPr>
      <w:r>
        <w:rPr>
          <w:rFonts w:ascii="Calibri" w:hAnsi="Calibri" w:eastAsia="Calibri"/>
          <w:i w:val="0"/>
          <w:color w:val="000000"/>
          <w:sz w:val="22"/>
        </w:rPr>
        <w:t>Without written permission, you may not republish a substantial portion, sell or commercially exploit the material, remove ownership notices, present conceptual work as an existing property or approved plan, scrape the site at a disruptive scale, create a misleading derivative offer, or use the PermOasis Retreat name or logo to imply authorization, partnership, endorsement, or affiliation.</w:t>
      </w:r>
    </w:p>
    <w:p>
      <w:pPr>
        <w:pStyle w:val="Heading1"/>
        <w:keepNext/>
        <w:keepLines/>
        <w:widowControl/>
      </w:pPr>
      <w:r>
        <w:t>14. Acceptable Use</w:t>
      </w:r>
    </w:p>
    <w:p>
      <w:pPr>
        <w:widowControl/>
      </w:pPr>
      <w:r>
        <w:rPr>
          <w:rFonts w:ascii="Calibri" w:hAnsi="Calibri" w:eastAsia="Calibri"/>
          <w:i w:val="0"/>
          <w:color w:val="000000"/>
          <w:sz w:val="22"/>
        </w:rPr>
        <w:t>You must not use the website, forms, documents, or contact channels to:</w:t>
      </w:r>
    </w:p>
    <w:p>
      <w:pPr>
        <w:numPr>
          <w:ilvl w:val="0"/>
          <w:numId w:val="91"/>
        </w:numPr>
        <w:spacing w:after="160" w:line="280" w:lineRule="auto"/>
        <w:keepLines/>
        <w:widowControl/>
      </w:pPr>
      <w:r>
        <w:rPr>
          <w:rFonts w:ascii="Calibri" w:hAnsi="Calibri" w:eastAsia="Calibri"/>
          <w:color w:val="000000"/>
          <w:sz w:val="22"/>
        </w:rPr>
        <w:t>break a law, infringe a right, commit fraud, impersonate another person, or submit information you are not authorized to provide;</w:t>
      </w:r>
    </w:p>
    <w:p>
      <w:pPr>
        <w:numPr>
          <w:ilvl w:val="0"/>
          <w:numId w:val="91"/>
        </w:numPr>
        <w:spacing w:after="160" w:line="280" w:lineRule="auto"/>
        <w:keepLines/>
        <w:widowControl/>
      </w:pPr>
      <w:r>
        <w:rPr>
          <w:rFonts w:ascii="Calibri" w:hAnsi="Calibri" w:eastAsia="Calibri"/>
          <w:color w:val="000000"/>
          <w:sz w:val="22"/>
        </w:rPr>
        <w:t>upload malicious code, probe security without written authorization, disrupt service, overload the site, or bypass access controls;</w:t>
      </w:r>
    </w:p>
    <w:p>
      <w:pPr>
        <w:numPr>
          <w:ilvl w:val="0"/>
          <w:numId w:val="91"/>
        </w:numPr>
        <w:spacing w:after="160" w:line="280" w:lineRule="auto"/>
        <w:keepLines/>
        <w:widowControl/>
      </w:pPr>
      <w:r>
        <w:rPr>
          <w:rFonts w:ascii="Calibri" w:hAnsi="Calibri" w:eastAsia="Calibri"/>
          <w:color w:val="000000"/>
          <w:sz w:val="22"/>
        </w:rPr>
        <w:t>harass, threaten, intimidate, discriminate against, or deliberately expose private information about another person;</w:t>
      </w:r>
    </w:p>
    <w:p>
      <w:pPr>
        <w:numPr>
          <w:ilvl w:val="0"/>
          <w:numId w:val="91"/>
        </w:numPr>
        <w:spacing w:after="160" w:line="280" w:lineRule="auto"/>
        <w:keepLines/>
        <w:widowControl/>
      </w:pPr>
      <w:r>
        <w:rPr>
          <w:rFonts w:ascii="Calibri" w:hAnsi="Calibri" w:eastAsia="Calibri"/>
          <w:color w:val="000000"/>
          <w:sz w:val="22"/>
        </w:rPr>
        <w:t>send unsolicited bulk messages, misleading promotions, or unrelated commercial solicitations; or</w:t>
      </w:r>
    </w:p>
    <w:p>
      <w:pPr>
        <w:numPr>
          <w:ilvl w:val="0"/>
          <w:numId w:val="91"/>
        </w:numPr>
        <w:spacing w:after="160" w:line="280" w:lineRule="auto"/>
        <w:keepLines/>
        <w:widowControl/>
      </w:pPr>
      <w:r>
        <w:rPr>
          <w:rFonts w:ascii="Calibri" w:hAnsi="Calibri" w:eastAsia="Calibri"/>
          <w:color w:val="000000"/>
          <w:sz w:val="22"/>
        </w:rPr>
        <w:t>copy, harvest, or use applicant, contact, or website information for an unrelated purpose.</w:t>
      </w:r>
    </w:p>
    <w:p>
      <w:pPr>
        <w:widowControl/>
      </w:pPr>
      <w:r>
        <w:rPr>
          <w:rFonts w:ascii="Calibri" w:hAnsi="Calibri" w:eastAsia="Calibri"/>
          <w:i w:val="0"/>
          <w:color w:val="000000"/>
          <w:sz w:val="22"/>
        </w:rPr>
        <w:t>PermOasis Retreat may block access, disregard submissions, preserve evidence, or contact a provider or authority when reasonably necessary to address misuse, security, fraud, safety, or a legal obligation.</w:t>
      </w:r>
    </w:p>
    <w:p>
      <w:pPr>
        <w:pStyle w:val="Heading1"/>
        <w:keepNext/>
        <w:keepLines/>
        <w:widowControl/>
      </w:pPr>
      <w:r>
        <w:t>15. Third-Party Services and Links</w:t>
      </w:r>
    </w:p>
    <w:p>
      <w:pPr>
        <w:widowControl/>
      </w:pPr>
      <w:r>
        <w:rPr>
          <w:rFonts w:ascii="Calibri" w:hAnsi="Calibri" w:eastAsia="Calibri"/>
          <w:i w:val="0"/>
          <w:color w:val="000000"/>
          <w:sz w:val="22"/>
        </w:rPr>
        <w:t>The website uses or links to independent services such as Hostinger, Google Analytics, Microsoft OneDrive and Word, Tally, Stripe, Unsplash or other image sources, and external professional, government, or social websites. Their own terms and privacy policies apply to their services.</w:t>
      </w:r>
    </w:p>
    <w:p>
      <w:pPr>
        <w:widowControl/>
      </w:pPr>
      <w:r>
        <w:rPr>
          <w:rFonts w:ascii="Calibri" w:hAnsi="Calibri" w:eastAsia="Calibri"/>
          <w:i w:val="0"/>
          <w:color w:val="000000"/>
          <w:sz w:val="22"/>
        </w:rPr>
        <w:t>PermOasis Retreat is responsible for choosing and configuring its providers with reasonable care, but it does not control the independent content, availability, security, policies, or lawful processing of every third-party site. A link is not an endorsement of every statement or service at the destination.</w:t>
      </w:r>
    </w:p>
    <w:p>
      <w:pPr>
        <w:pStyle w:val="Heading1"/>
        <w:keepNext/>
        <w:keepLines/>
        <w:widowControl/>
      </w:pPr>
      <w:r>
        <w:t>16. Website Availability and Corrections</w:t>
      </w:r>
    </w:p>
    <w:p>
      <w:pPr>
        <w:widowControl/>
      </w:pPr>
      <w:r>
        <w:rPr>
          <w:rFonts w:ascii="Calibri" w:hAnsi="Calibri" w:eastAsia="Calibri"/>
          <w:i w:val="0"/>
          <w:color w:val="000000"/>
          <w:sz w:val="22"/>
        </w:rPr>
        <w:t>The website, embedded documents, forms, and checkout may occasionally be unavailable, delayed, or affected by maintenance, provider outages, security events, browser settings, or events beyond reasonable control. PermOasis Retreat does not guarantee uninterrupted or error-free access.</w:t>
      </w:r>
    </w:p>
    <w:p>
      <w:pPr>
        <w:widowControl/>
      </w:pPr>
      <w:r>
        <w:rPr>
          <w:rFonts w:ascii="Calibri" w:hAnsi="Calibri" w:eastAsia="Calibri"/>
          <w:i w:val="0"/>
          <w:color w:val="000000"/>
          <w:sz w:val="22"/>
        </w:rPr>
        <w:t>A credible error, contradiction, outdated statement, or broken link should be reported to tyler@permoasisretreat.com. PermOasis Retreat may correct the material and review connected pages or documents. A correction does not create a right to a Founding Homestead or another benefit, but a material correction affecting an active applicant will be handled fairly.</w:t>
      </w:r>
    </w:p>
    <w:p>
      <w:pPr>
        <w:pStyle w:val="Heading1"/>
        <w:keepNext/>
        <w:keepLines/>
        <w:widowControl/>
      </w:pPr>
      <w:r>
        <w:t>17. Disclaimers</w:t>
      </w:r>
    </w:p>
    <w:p>
      <w:pPr>
        <w:widowControl/>
      </w:pPr>
      <w:r>
        <w:rPr>
          <w:rFonts w:ascii="Calibri" w:hAnsi="Calibri" w:eastAsia="Calibri"/>
          <w:i w:val="0"/>
          <w:color w:val="000000"/>
          <w:sz w:val="22"/>
        </w:rPr>
        <w:t>Except for an express obligation stated in these Terms, the website and public materials are provided on an as-available basis. To the maximum extent permitted by law, PermOasis Retreat does not make an implied warranty that public material is complete, suitable for a particular household, continuously available, or free from every error.</w:t>
      </w:r>
    </w:p>
    <w:p>
      <w:pPr>
        <w:widowControl/>
      </w:pPr>
      <w:r>
        <w:rPr>
          <w:rFonts w:ascii="Calibri" w:hAnsi="Calibri" w:eastAsia="Calibri"/>
          <w:i w:val="0"/>
          <w:color w:val="000000"/>
          <w:sz w:val="22"/>
        </w:rPr>
        <w:t>Nothing in these Terms excludes an express promise in the Founding Review Deposit provisions, the Privacy Policy, or a later signed agreement. Nothing excludes a warranty, remedy, or other right that applicable law does not permit the parties to waive.</w:t>
      </w:r>
    </w:p>
    <w:p>
      <w:pPr>
        <w:pStyle w:val="Heading1"/>
        <w:keepNext/>
        <w:keepLines/>
        <w:widowControl/>
      </w:pPr>
      <w:r>
        <w:t>18. Limits of Liability</w:t>
      </w:r>
    </w:p>
    <w:p>
      <w:pPr>
        <w:widowControl/>
      </w:pPr>
      <w:r>
        <w:rPr>
          <w:rFonts w:ascii="Calibri" w:hAnsi="Calibri" w:eastAsia="Calibri"/>
          <w:i w:val="0"/>
          <w:color w:val="000000"/>
          <w:sz w:val="22"/>
        </w:rPr>
        <w:t>To the maximum extent permitted by law, neither party will be liable under these Terms for indirect, incidental, special, punitive, or consequential loss arising solely from use of the public website, application funnel, or review service, including lost opportunity or expected profit that was never guaranteed.</w:t>
      </w:r>
    </w:p>
    <w:p>
      <w:pPr>
        <w:widowControl/>
      </w:pPr>
      <w:r>
        <w:rPr>
          <w:rFonts w:ascii="Calibri" w:hAnsi="Calibri" w:eastAsia="Calibri"/>
          <w:i w:val="0"/>
          <w:color w:val="000000"/>
          <w:sz w:val="22"/>
        </w:rPr>
        <w:t>Except for fraud, wilful misconduct, gross negligence, a material breach of confidentiality or privacy obligations, payment or refund obligations expressly stated in these Terms, or liability that cannot lawfully be limited, PermOasis Retreat's aggregate direct liability arising solely from the paid Founding Review service will not exceed the amount the applicant paid for that service.</w:t>
      </w:r>
    </w:p>
    <w:p>
      <w:pPr>
        <w:widowControl/>
      </w:pPr>
      <w:r>
        <w:rPr>
          <w:rFonts w:ascii="Calibri" w:hAnsi="Calibri" w:eastAsia="Calibri"/>
          <w:i w:val="0"/>
          <w:color w:val="000000"/>
          <w:sz w:val="22"/>
        </w:rPr>
        <w:t>These limits do not govern liability under a later land, share, shareholder, trust, closing, employment, accommodation, wellness, or commercial agreement. That agreement will contain its own risk allocation.</w:t>
      </w:r>
    </w:p>
    <w:p>
      <w:pPr>
        <w:pStyle w:val="Heading1"/>
        <w:keepNext/>
        <w:keepLines/>
        <w:widowControl/>
      </w:pPr>
      <w:r>
        <w:t>19. Suspension and Ending Access</w:t>
      </w:r>
    </w:p>
    <w:p>
      <w:pPr>
        <w:widowControl/>
      </w:pPr>
      <w:r>
        <w:rPr>
          <w:rFonts w:ascii="Calibri" w:hAnsi="Calibri" w:eastAsia="Calibri"/>
          <w:i w:val="0"/>
          <w:color w:val="000000"/>
          <w:sz w:val="22"/>
        </w:rPr>
        <w:t>PermOasis Retreat may suspend website or form access, stop communicating through a particular channel, or end a review where reasonably necessary for security, safety, abuse prevention, fraud, legal compliance, material dishonesty, harassment, or project capacity. Ending a review does not make an earned deposit refundable unless the refund provisions above or applicable law say otherwise.</w:t>
      </w:r>
    </w:p>
    <w:p>
      <w:pPr>
        <w:widowControl/>
      </w:pPr>
      <w:r>
        <w:rPr>
          <w:rFonts w:ascii="Calibri" w:hAnsi="Calibri" w:eastAsia="Calibri"/>
          <w:i w:val="0"/>
          <w:color w:val="000000"/>
          <w:sz w:val="22"/>
        </w:rPr>
        <w:t>Sections that logically continue after access or review ends remain in effect, including privacy and retention, intellectual property, payment records, disclaimers, liability limits, governing law, and general contract provisions.</w:t>
      </w:r>
    </w:p>
    <w:p>
      <w:pPr>
        <w:pStyle w:val="Heading1"/>
        <w:keepNext/>
        <w:keepLines/>
        <w:widowControl/>
      </w:pPr>
      <w:r>
        <w:t>20. Governing Law and Resolving Concerns</w:t>
      </w:r>
    </w:p>
    <w:p>
      <w:pPr>
        <w:widowControl/>
      </w:pPr>
      <w:r>
        <w:rPr>
          <w:rFonts w:ascii="Calibri" w:hAnsi="Calibri" w:eastAsia="Calibri"/>
          <w:i w:val="0"/>
          <w:color w:val="000000"/>
          <w:sz w:val="22"/>
        </w:rPr>
        <w:t>These Terms are governed by the laws of New Brunswick and the federal laws of Canada that apply there, without regard to conflict-of-law rules. Subject to mandatory rights and the jurisdiction of small-claims or regulatory bodies, disputes relating only to these Terms will be brought before a court of competent jurisdiction in New Brunswick.</w:t>
      </w:r>
    </w:p>
    <w:p>
      <w:pPr>
        <w:widowControl/>
      </w:pPr>
      <w:r>
        <w:rPr>
          <w:rFonts w:ascii="Calibri" w:hAnsi="Calibri" w:eastAsia="Calibri"/>
          <w:i w:val="0"/>
          <w:color w:val="000000"/>
          <w:sz w:val="22"/>
        </w:rPr>
        <w:t>Before starting a court proceeding, each side should give the other written notice describing the concern and a reasonable opportunity to resolve it. This does not prevent urgent relief, a privacy or regulatory complaint, a chargeback right, or another remedy that law allows.</w:t>
      </w:r>
    </w:p>
    <w:p>
      <w:pPr>
        <w:widowControl/>
      </w:pPr>
      <w:r>
        <w:rPr>
          <w:rFonts w:ascii="Calibri" w:hAnsi="Calibri" w:eastAsia="Calibri"/>
          <w:i w:val="0"/>
          <w:color w:val="000000"/>
          <w:sz w:val="22"/>
        </w:rPr>
        <w:t>Nothing in these Terms waives a mandatory consumer, privacy, human-rights, securities, or other statutory protection that applies to you.</w:t>
      </w:r>
    </w:p>
    <w:p>
      <w:pPr>
        <w:pStyle w:val="Heading1"/>
        <w:keepNext/>
        <w:keepLines/>
        <w:widowControl/>
      </w:pPr>
      <w:r>
        <w:t>21. Changes to These Terms</w:t>
      </w:r>
    </w:p>
    <w:p>
      <w:pPr>
        <w:widowControl/>
      </w:pPr>
      <w:r>
        <w:rPr>
          <w:rFonts w:ascii="Calibri" w:hAnsi="Calibri" w:eastAsia="Calibri"/>
          <w:i w:val="0"/>
          <w:color w:val="000000"/>
          <w:sz w:val="22"/>
        </w:rPr>
        <w:t>The current version and effective date appear at the top. PermOasis Retreat may update these Terms for future website use, applications, or review deposits. A new version does not retroactively change an already paid review service or signed agreement unless the affected parties agree or law requires the change.</w:t>
      </w:r>
    </w:p>
    <w:p>
      <w:pPr>
        <w:widowControl/>
      </w:pPr>
      <w:r>
        <w:rPr>
          <w:rFonts w:ascii="Calibri" w:hAnsi="Calibri" w:eastAsia="Calibri"/>
          <w:i w:val="0"/>
          <w:color w:val="000000"/>
          <w:sz w:val="22"/>
        </w:rPr>
        <w:t>An active applicant may be asked to accept an updated version before a new stage begins if the change is material to that stage. The acceptance record should identify the Terms version.</w:t>
      </w:r>
    </w:p>
    <w:p>
      <w:pPr>
        <w:pStyle w:val="Heading1"/>
        <w:keepNext/>
        <w:keepLines/>
        <w:widowControl/>
      </w:pPr>
      <w:r>
        <w:t>22. General Contract Provisions</w:t>
      </w:r>
    </w:p>
    <w:p>
      <w:pPr>
        <w:widowControl/>
      </w:pPr>
      <w:r>
        <w:rPr>
          <w:rFonts w:ascii="Calibri" w:hAnsi="Calibri" w:eastAsia="Calibri"/>
          <w:i w:val="0"/>
          <w:color w:val="000000"/>
          <w:sz w:val="22"/>
        </w:rPr>
        <w:t>If a provision is found invalid or unenforceable, it will be narrowed or removed only to the extent necessary, and the remaining provisions will continue. A delay in enforcing a right is not a waiver. Headings help navigation and do not change meaning.</w:t>
      </w:r>
    </w:p>
    <w:p>
      <w:pPr>
        <w:widowControl/>
      </w:pPr>
      <w:r>
        <w:rPr>
          <w:rFonts w:ascii="Calibri" w:hAnsi="Calibri" w:eastAsia="Calibri"/>
          <w:i w:val="0"/>
          <w:color w:val="000000"/>
          <w:sz w:val="22"/>
        </w:rPr>
        <w:t>For ordinary website use and the Founding Review service, these Terms, the Privacy Policy, the current Information Package acknowledgment, and the payment confirmation form the complete online agreement on those subjects. They do not form the final Founding Homestead transaction. PermOasis Retreat may assign these Terms as part of a genuine corporate reorganization or business succession that preserves applicable obligations. An applicant may not transfer an application, deposit, or credit without written approval.</w:t>
      </w:r>
    </w:p>
    <w:p>
      <w:pPr>
        <w:pStyle w:val="Heading1"/>
        <w:keepNext/>
        <w:keepLines/>
        <w:widowControl/>
      </w:pPr>
      <w:r>
        <w:t>23. Contact</w:t>
      </w:r>
    </w:p>
    <w:p>
      <w:r>
        <w:rPr>
          <w:rFonts w:ascii="Calibri" w:hAnsi="Calibri" w:eastAsia="Calibri"/>
          <w:b/>
          <w:color w:val="000000"/>
          <w:sz w:val="22"/>
        </w:rPr>
        <w:t xml:space="preserve">Questions, corrections, payment concerns, or legal notices: </w:t>
      </w:r>
      <w:hyperlink r:id="rId11">
        <w:r>
          <w:rPr>
            <w:rFonts w:ascii="Calibri" w:hAnsi="Calibri"/>
            <w:color w:val="2E74B5"/>
            <w:u w:val="single"/>
            <w:sz w:val="22"/>
          </w:rPr>
          <w:t>tyler@permoasisretreat.com</w:t>
        </w:r>
      </w:hyperlink>
    </w:p>
    <w:p>
      <w:pPr>
        <w:widowControl/>
      </w:pPr>
      <w:r>
        <w:rPr>
          <w:rFonts w:ascii="Calibri" w:hAnsi="Calibri" w:eastAsia="Calibri"/>
          <w:i w:val="0"/>
          <w:color w:val="000000"/>
          <w:sz w:val="22"/>
        </w:rPr>
        <w:t>Tyler Clark</w:t>
      </w:r>
    </w:p>
    <w:p>
      <w:pPr>
        <w:widowControl/>
      </w:pPr>
      <w:r>
        <w:rPr>
          <w:rFonts w:ascii="Calibri" w:hAnsi="Calibri" w:eastAsia="Calibri"/>
          <w:i w:val="0"/>
          <w:color w:val="000000"/>
          <w:sz w:val="22"/>
        </w:rPr>
        <w:t>PermOasis Retreat Ltd.</w:t>
      </w:r>
    </w:p>
    <w:p>
      <w:pPr>
        <w:widowControl/>
      </w:pPr>
      <w:r>
        <w:rPr>
          <w:rFonts w:ascii="Calibri" w:hAnsi="Calibri" w:eastAsia="Calibri"/>
          <w:i w:val="0"/>
          <w:color w:val="000000"/>
          <w:sz w:val="22"/>
        </w:rPr>
        <w:t>New Brunswick, Canada</w:t>
      </w:r>
    </w:p>
    <w:sectPr>
      <w:headerReference w:type="default" r:id="rId9"/>
      <w:footerReference w:type="default" r:id="rId10"/>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eastAsia="Calibri"/>
        <w:color w:val="5E6770"/>
        <w:sz w:val="18"/>
      </w:rP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Calibri" w:hAnsi="Calibri" w:eastAsia="Calibri"/>
        <w:b/>
        <w:color w:val="5E6770"/>
        <w:sz w:val="18"/>
      </w:rPr>
      <w:t>PermOasis Retreat Ltd. | Terms and Conditions | TC-2026.07.25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abstractNum w:abstractNumId="91">
    <w:multiLevelType w:val="singleLevel"/>
    <w:lvl w:ilvl="0">
      <w:start w:val="1"/>
      <w:numFmt w:val="bullet"/>
      <w:lvlText w:val="•"/>
      <w:lvlJc w:val="left"/>
      <w:pPr>
        <w:tabs>
          <w:tab w:val="num" w:pos="720"/>
        </w:tabs>
        <w:ind w:left="720" w:hanging="360"/>
        <w:spacing w:after="160" w:line="280" w:lineRule="auto"/>
      </w:pPr>
      <w:rPr>
        <w:rFonts w:ascii="Calibri" w:hAnsi="Calibri"/>
      </w:rPr>
    </w:lvl>
  </w:abstractNum>
  <w:num w:numId="91">
    <w:abstractNumId w:val="91"/>
  </w:num>
  <w:abstractNum w:abstractNumId="92">
    <w:multiLevelType w:val="singleLevel"/>
    <w:lvl w:ilvl="0">
      <w:start w:val="1"/>
      <w:numFmt w:val="decimal"/>
      <w:lvlText w:val="%1."/>
      <w:lvlJc w:val="left"/>
      <w:pPr>
        <w:tabs>
          <w:tab w:val="num" w:pos="720"/>
        </w:tabs>
        <w:ind w:left="720" w:hanging="360"/>
        <w:spacing w:after="160" w:line="280" w:lineRule="auto"/>
      </w:pPr>
      <w:rPr>
        <w:rFonts w:ascii="Calibri" w:hAnsi="Calibri"/>
      </w:rPr>
    </w:lvl>
  </w:abstractNum>
  <w:num w:numId="92">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20" w:line="264"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Calibri" w:hAnsi="Calibr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libri" w:hAnsi="Calibr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Calibri" w:hAnsi="Calibr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before="0"/>
      <w:contextualSpacing/>
    </w:pPr>
    <w:rPr>
      <w:rFonts w:asciiTheme="majorHAnsi" w:eastAsiaTheme="majorEastAsia" w:hAnsiTheme="majorHAnsi" w:cstheme="majorBidi" w:ascii="Calibri" w:hAnsi="Calibri"/>
      <w:b/>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240"/>
    </w:pPr>
    <w:rPr>
      <w:rFonts w:asciiTheme="majorHAnsi" w:eastAsiaTheme="majorEastAsia" w:hAnsiTheme="majorHAnsi" w:cstheme="majorBidi" w:ascii="Calibri" w:hAnsi="Calibri"/>
      <w:i/>
      <w:iCs/>
      <w:color w:val="5E677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data">
    <w:name w:val="Metadata"/>
    <w:pPr>
      <w:spacing w:before="0" w:after="40" w:line="240" w:lineRule="auto"/>
    </w:pPr>
    <w:rPr>
      <w:rFonts w:ascii="Calibri" w:hAnsi="Calibri"/>
      <w:color w:val="5E6770"/>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mailto:tyler@permoasisretreat.com" TargetMode="External"/><Relationship Id="rId12" Type="http://schemas.openxmlformats.org/officeDocument/2006/relationships/hyperlink" Target="https://permoasisretreat.com/founding-five-information-package" TargetMode="External"/><Relationship Id="rId13" Type="http://schemas.openxmlformats.org/officeDocument/2006/relationships/hyperlink" Target="https://permoasisretreat.com/privacy-policy" TargetMode="External"/><Relationship Id="rId14" Type="http://schemas.openxmlformats.org/officeDocument/2006/relationships/hyperlink" Target="https://permoasisretreat.com/ai-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and Conditions</dc:title>
  <dc:subject>Website legal policy draft for counsel review</dc:subject>
  <dc:creator/>
  <cp:keywords>PermOasis Retreat, privacy, website terms, Founding Five</cp:keywords>
  <dc:description>generated by python-docx</dc:description>
  <cp:lastModifiedBy/>
  <cp:revision>1</cp:revision>
  <dcterms:created xsi:type="dcterms:W3CDTF">2013-12-23T23:15:00Z</dcterms:created>
  <dcterms:modified xsi:type="dcterms:W3CDTF">2013-12-23T23:15:00Z</dcterms:modified>
  <cp:category/>
</cp:coreProperties>
</file>